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DATA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Table S3 Frequency of the presence of the characters states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cursor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A. montensis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hybrids. </w:t>
      </w:r>
    </w:p>
    <w:tbl>
      <w:tblPr>
        <w:tblStyle w:val="Table1"/>
        <w:tblW w:w="906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3"/>
        <w:gridCol w:w="1175"/>
        <w:gridCol w:w="1105"/>
        <w:gridCol w:w="954"/>
        <w:gridCol w:w="714"/>
        <w:gridCol w:w="894"/>
        <w:gridCol w:w="774"/>
        <w:gridCol w:w="785"/>
        <w:gridCol w:w="755"/>
        <w:gridCol w:w="748"/>
        <w:tblGridChange w:id="0">
          <w:tblGrid>
            <w:gridCol w:w="1163"/>
            <w:gridCol w:w="1175"/>
            <w:gridCol w:w="1105"/>
            <w:gridCol w:w="954"/>
            <w:gridCol w:w="714"/>
            <w:gridCol w:w="894"/>
            <w:gridCol w:w="774"/>
            <w:gridCol w:w="785"/>
            <w:gridCol w:w="755"/>
            <w:gridCol w:w="7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Group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subgroup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#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sample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Character states*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DCD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DS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A. cursor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65.2 %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72.2 %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30.4 %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60.8 %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22.2 %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73.9 %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5.5 %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45.4 %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18.1 %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54.5 %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45.4 %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90.9 %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10.5 %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62.5 %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42.1 %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37.5 %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A. montensis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SP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15.4 %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8.3 %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27.2 %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27.2 %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15.4 %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72.7 %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69.2 %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66.6 %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63.6 %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SPxMG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27.2 %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36.3 %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11.1 %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33.3 %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27.2 %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63.6 %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88.8 %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66.6 %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45.4 %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Hybrids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ACUxAMO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71.0 %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71.0%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AMOxACU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50.0 %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100.0 %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67.0 %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0.0 %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33.0 %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E0">
      <w:pPr>
        <w:spacing w:after="24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#As Table 1. *As Table 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Characters Abbreviation: S = Spines; DC = Dorsal Cleft; DCD = Dorsal Cleft Depth; VC = Ventral Cleft; GS = Glans Shape and DS = Dark Spots.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cursor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groups: Individuals from Pernambuco (ACU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PE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); individuals from Bahia (ACU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BA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 and individuals from Espírito Santo (ACU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A. montensis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individuals from São Paulo (AMO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 and individuals from crossings between individuals from São Paulo and Minas Gerais (AMO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  <w:rtl w:val="0"/>
        </w:rPr>
        <w:t xml:space="preserve">SPxMG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EF1"/>
    <w:pPr>
      <w:spacing w:line="276" w:lineRule="auto"/>
    </w:pPr>
    <w:rPr>
      <w:rFonts w:ascii="Arial" w:cs="Arial" w:eastAsia="Arial" w:hAnsi="Arial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oG4aS+/nrIGo4lhExh6tvAnSw==">AMUW2mUG08OsfcZic7EHNEDq805GuTzTSnw56RIubSRntqZBfcqJFO4/udMPhI5to89/SVq/J7U1ruEaj2HJAvZaIjRtO9XzPEaGP97Irj27mwYo7z6/6e8=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2022-06-07T17:25:00Z</dcterms:created>
  <dc:creator>valeria fagundes</dc:creator>
</cp:coreProperties>
</file>